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 w:hAnsi="仿宋" w:eastAsia="仿宋"/>
          <w:b/>
          <w:bCs/>
          <w:sz w:val="48"/>
          <w:szCs w:val="48"/>
        </w:rPr>
      </w:pPr>
      <w:r>
        <w:rPr>
          <w:rFonts w:ascii="仿宋" w:hAnsi="仿宋" w:eastAsia="仿宋"/>
          <w:b/>
          <w:bCs/>
          <w:sz w:val="48"/>
          <w:szCs w:val="48"/>
        </w:rPr>
        <w:t>2021年度怀化市医疗保障事务中心</w:t>
      </w:r>
      <w:r>
        <w:rPr>
          <w:rFonts w:hint="eastAsia" w:ascii="仿宋" w:hAnsi="仿宋" w:eastAsia="仿宋"/>
          <w:b/>
          <w:bCs/>
          <w:sz w:val="48"/>
          <w:szCs w:val="48"/>
        </w:rPr>
        <w:t>部门决算</w:t>
      </w:r>
    </w:p>
    <w:p>
      <w:pPr>
        <w:spacing w:line="600" w:lineRule="exact"/>
        <w:rPr>
          <w:rFonts w:ascii="仿宋" w:hAnsi="仿宋" w:eastAsia="仿宋"/>
          <w:sz w:val="32"/>
          <w:szCs w:val="32"/>
        </w:rPr>
      </w:pPr>
    </w:p>
    <w:p>
      <w:pPr>
        <w:spacing w:line="600" w:lineRule="exact"/>
        <w:ind w:firstLine="643" w:firstLineChars="200"/>
        <w:jc w:val="center"/>
        <w:rPr>
          <w:rFonts w:ascii="黑体" w:hAnsi="黑体" w:eastAsia="黑体"/>
          <w:b/>
          <w:bCs/>
          <w:sz w:val="32"/>
          <w:szCs w:val="32"/>
        </w:rPr>
      </w:pPr>
      <w:r>
        <w:rPr>
          <w:rFonts w:hint="eastAsia" w:ascii="黑体" w:hAnsi="黑体" w:eastAsia="黑体"/>
          <w:b/>
          <w:bCs/>
          <w:sz w:val="32"/>
          <w:szCs w:val="32"/>
        </w:rPr>
        <w:t>目 录</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第一部分 怀化市医疗保障事务中心单位概况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一、部门职责</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二、机构设置</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第二部分</w:t>
      </w:r>
      <w:r>
        <w:rPr>
          <w:rFonts w:ascii="黑体" w:hAnsi="黑体" w:eastAsia="黑体"/>
          <w:b/>
          <w:bCs/>
          <w:sz w:val="32"/>
          <w:szCs w:val="32"/>
        </w:rPr>
        <w:t>2021年度部门决算表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一、收入支出决算总表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二、收入决算表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三、支出决算表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四、财政拨款收入支出决算总表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五、一般公共预算财政拨款支出决算表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六、一般公共预算财政拨款基本支出决算明细表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七、一般公共预算财政拨款“三公”经费支出决算表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八、政府性基金预算财政拨款收入支出决算表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九、国有资本经营预算财政拨款支出决算表</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第三部分</w:t>
      </w:r>
      <w:r>
        <w:rPr>
          <w:rFonts w:ascii="黑体" w:hAnsi="黑体" w:eastAsia="黑体"/>
          <w:b/>
          <w:bCs/>
          <w:sz w:val="32"/>
          <w:szCs w:val="32"/>
        </w:rPr>
        <w:t>2021年度部门决算情况说明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一、收入支出决算总体情况说明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二、收入决算情况说明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三、支出决算情况说明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四、财政拨款收入支出决算总体情况说明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五、一般公共预算财政拨款支出决算情况说明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六、一般公共预算财政拨款基本支出决算情况说明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七、一般公共预算财政拨款“三公”经费支出决算情况说明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八、政府性基金预算收入支出决算情况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九、国有资本经营预算财政拨款支出决算情况说明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十、机关运行经费支出说明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十一、一般性支出情况说明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十二、政府采购支出说明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十三、国有资产占用情况说明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十四、</w:t>
      </w:r>
      <w:r>
        <w:rPr>
          <w:rFonts w:ascii="仿宋" w:hAnsi="仿宋" w:eastAsia="仿宋"/>
          <w:sz w:val="32"/>
          <w:szCs w:val="32"/>
        </w:rPr>
        <w:t>2021年度预算绩效情况说明</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第四部分名词解释</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第五部分附件</w:t>
      </w:r>
    </w:p>
    <w:p>
      <w:pPr>
        <w:spacing w:line="600" w:lineRule="exact"/>
        <w:ind w:firstLine="640" w:firstLineChars="200"/>
        <w:rPr>
          <w:rFonts w:ascii="仿宋" w:hAnsi="仿宋" w:eastAsia="仿宋"/>
          <w:sz w:val="32"/>
          <w:szCs w:val="32"/>
        </w:rPr>
      </w:pPr>
    </w:p>
    <w:p>
      <w:pPr>
        <w:spacing w:line="600" w:lineRule="exact"/>
        <w:ind w:firstLine="883" w:firstLineChars="200"/>
        <w:jc w:val="center"/>
        <w:rPr>
          <w:rFonts w:ascii="黑体" w:hAnsi="黑体" w:eastAsia="黑体"/>
          <w:b/>
          <w:bCs/>
          <w:sz w:val="44"/>
          <w:szCs w:val="44"/>
        </w:rPr>
      </w:pPr>
      <w:r>
        <w:rPr>
          <w:rFonts w:hint="eastAsia" w:ascii="黑体" w:hAnsi="黑体" w:eastAsia="黑体"/>
          <w:b/>
          <w:bCs/>
          <w:sz w:val="44"/>
          <w:szCs w:val="44"/>
        </w:rPr>
        <w:t xml:space="preserve">第一部分 </w:t>
      </w:r>
      <w:r>
        <w:rPr>
          <w:rFonts w:ascii="黑体" w:hAnsi="黑体" w:eastAsia="黑体"/>
          <w:b/>
          <w:bCs/>
          <w:sz w:val="44"/>
          <w:szCs w:val="44"/>
        </w:rPr>
        <w:t>怀化市医疗保障事务中心</w:t>
      </w:r>
      <w:r>
        <w:rPr>
          <w:rFonts w:hint="eastAsia" w:ascii="黑体" w:hAnsi="黑体" w:eastAsia="黑体"/>
          <w:b/>
          <w:bCs/>
          <w:sz w:val="44"/>
          <w:szCs w:val="44"/>
        </w:rPr>
        <w:t>单位概况</w:t>
      </w:r>
    </w:p>
    <w:p>
      <w:pPr>
        <w:spacing w:line="600" w:lineRule="exact"/>
        <w:ind w:firstLine="640" w:firstLineChars="200"/>
        <w:rPr>
          <w:rFonts w:ascii="仿宋" w:hAnsi="仿宋" w:eastAsia="仿宋"/>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部门职责</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负责中心的日常运转以及党建、干部人事、文秘内勤、综合治理、对外宣传、后勤服务等工作;负责市直参保单位健康管理有关工作；负责市直单位的参保登记，及时采集、比对参保人员基本信息；开展参保政策组织动员和宣传；建立部门间信息定期比对共享机制和数据动态管理机制；承担跨省、跨市和市内异地医疗保障关系转移接续；负责业务统计报表工作；负责市本级医药机构准入评估工作；负责组织落实中心扶贫点的脱贫攻坚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负责编制市直参保单位职责范围内的保障经办事务的财务报表及基金预决算；负贵对市直协议医疗机构、协议零售药店的医疗费用审定及支付工作；负责医疗保险基金(费)的内部审计和分析工作。负责部门经费预决算及财务管理、财务报表、劳动工资统计报表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主要负责市本级医疗保险、生育保险、大病医疗互助、医疗救助、特殊病种、特殊药品待遇经办服务工作，负责市直单位公务员医疗补助的经办服务工作；协助有关部门拟订基本医疗保险、生育保险药品目录、诊疗项目录、医疗服务设施标准目录并组织尖施；负责市本级离休干部医疗保障待遇费用的经办服务工作协助有关部门拟订离休干部医疗保险药品目录、诊疗项目目录、医疗服务设施标准目录并组织实施;负责医保扶贫有关业务经办工作。</w:t>
      </w:r>
    </w:p>
    <w:p>
      <w:pPr>
        <w:spacing w:line="600" w:lineRule="exact"/>
        <w:ind w:firstLine="640" w:firstLineChars="200"/>
        <w:rPr>
          <w:rFonts w:ascii="仿宋" w:hAnsi="仿宋" w:eastAsia="仿宋"/>
          <w:sz w:val="32"/>
          <w:szCs w:val="32"/>
        </w:rPr>
      </w:pPr>
      <w:r>
        <w:rPr>
          <w:rFonts w:ascii="仿宋" w:hAnsi="仿宋" w:eastAsia="仿宋"/>
          <w:sz w:val="32"/>
          <w:szCs w:val="32"/>
        </w:rPr>
        <w:t>（4）主要负责跨省和市内医疗保障异地就医经办事务；协助拟订跨省和市内异地就医管理办法和结算政策；落实异地就医风险调节基金和待遇支付；承担异地基本医疗、大病保险、医疗救助等医疗保险“一站式”经办结算服务工作；负责城乡居民大病保险工作；负责新型肺炎结算、统计等工作。</w:t>
      </w:r>
    </w:p>
    <w:p>
      <w:pPr>
        <w:spacing w:line="600" w:lineRule="exact"/>
        <w:ind w:firstLine="640" w:firstLineChars="200"/>
        <w:rPr>
          <w:rFonts w:ascii="仿宋" w:hAnsi="仿宋" w:eastAsia="仿宋"/>
          <w:sz w:val="32"/>
          <w:szCs w:val="32"/>
        </w:rPr>
      </w:pPr>
      <w:r>
        <w:rPr>
          <w:rFonts w:ascii="仿宋" w:hAnsi="仿宋" w:eastAsia="仿宋"/>
          <w:sz w:val="32"/>
          <w:szCs w:val="32"/>
        </w:rPr>
        <w:t>（5）主要负责参与、配合医药招标采购方案和招标采购目录制定；协调、配合医药招标采购平台建设；监督医疗机构医药采购和中标药品、医用耗材配送行为；参与医保药品价格谈判工作，负责市本级医疗服务项目和医疗服务设施价格的成本核算和评估；制定医药价格及医保管理服务技术标准规范；监测医药价格和信息发布；开展市本级医药价格监测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6）主要负责拟订市直参保单位基本医疗保险协议管理医疗机构、零售药店的服务协议及费用结算办法；拟订市直参保单位生育保险协议管理医疗机构的服务协议及费用结算办法；拟订离休干部医疗保险协议管理医疗机构的服务协议及费用结算办法；指导市直协议医疗机构、协议零售药店服务协议签订及履行，并对协议医疗机构、协议零售药店进行监督管理和测平。</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7）负责对市直参保单位职责范围内的医疗保险、生育保险、大病医疗互助、特殊病种、特殊药品、公务员医疗补助、离退休干部医疗保障、医疗救助费用等审核工作；负责审计、稽核个人账户资金、统筹基金的运营情况;组织拟订各项业务工作规程、规范及管理制度，并进行协调和督查;开展医疗保障经办机构内控管理和风险防控；负责市本级特殊病种的门诊评审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8）完成市委、市政府交办的其他事宜。</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二、机构设置及决算单位构成</w:t>
      </w:r>
    </w:p>
    <w:p>
      <w:pPr>
        <w:spacing w:line="600" w:lineRule="exact"/>
        <w:ind w:firstLine="643" w:firstLineChars="200"/>
        <w:rPr>
          <w:rFonts w:hint="eastAsia" w:ascii="仿宋" w:hAnsi="仿宋" w:eastAsia="仿宋"/>
          <w:sz w:val="32"/>
          <w:szCs w:val="32"/>
        </w:rPr>
      </w:pPr>
      <w:r>
        <w:rPr>
          <w:rFonts w:hint="eastAsia" w:ascii="仿宋" w:hAnsi="仿宋" w:eastAsia="仿宋"/>
          <w:b/>
          <w:bCs/>
          <w:sz w:val="32"/>
          <w:szCs w:val="32"/>
        </w:rPr>
        <w:t>（一）内设机构设置。</w:t>
      </w:r>
      <w:r>
        <w:rPr>
          <w:rFonts w:hint="eastAsia" w:ascii="仿宋" w:hAnsi="仿宋" w:eastAsia="仿宋"/>
          <w:sz w:val="32"/>
          <w:szCs w:val="32"/>
        </w:rPr>
        <w:t>我中心属于怀化市医疗保障局的下属二级部门预算单位。内设机构包括：综合部、财务审核部、待遇保障服务部、异地结算和稽核事务部、医药招采事务部、协议管理和价格检测部。</w:t>
      </w:r>
    </w:p>
    <w:p>
      <w:pPr>
        <w:spacing w:line="600" w:lineRule="exact"/>
        <w:ind w:firstLine="643" w:firstLineChars="200"/>
        <w:rPr>
          <w:rFonts w:ascii="仿宋" w:hAnsi="仿宋" w:eastAsia="仿宋"/>
          <w:sz w:val="32"/>
          <w:szCs w:val="32"/>
        </w:rPr>
      </w:pPr>
      <w:r>
        <w:rPr>
          <w:rFonts w:hint="eastAsia" w:ascii="仿宋" w:hAnsi="仿宋" w:eastAsia="仿宋"/>
          <w:b/>
          <w:bCs/>
          <w:sz w:val="32"/>
          <w:szCs w:val="32"/>
        </w:rPr>
        <w:t>（二）决算单位构成。</w:t>
      </w:r>
      <w:r>
        <w:rPr>
          <w:rFonts w:hint="eastAsia" w:ascii="仿宋" w:hAnsi="仿宋" w:eastAsia="仿宋"/>
          <w:sz w:val="32"/>
          <w:szCs w:val="32"/>
        </w:rPr>
        <w:t>怀化市医疗保障事务中心</w:t>
      </w:r>
      <w:r>
        <w:rPr>
          <w:rFonts w:ascii="仿宋" w:hAnsi="仿宋" w:eastAsia="仿宋"/>
          <w:sz w:val="32"/>
          <w:szCs w:val="32"/>
        </w:rPr>
        <w:t>2021年部门决算汇总公开单位构成包括：怀化市医疗保障事务中心本级。</w:t>
      </w:r>
    </w:p>
    <w:p>
      <w:pPr>
        <w:spacing w:line="600" w:lineRule="exact"/>
        <w:ind w:firstLine="640" w:firstLineChars="200"/>
        <w:rPr>
          <w:rFonts w:ascii="仿宋" w:hAnsi="仿宋" w:eastAsia="仿宋"/>
          <w:sz w:val="32"/>
          <w:szCs w:val="32"/>
        </w:rPr>
      </w:pPr>
    </w:p>
    <w:p>
      <w:pPr>
        <w:spacing w:line="600" w:lineRule="exact"/>
        <w:ind w:firstLine="883" w:firstLineChars="200"/>
        <w:jc w:val="center"/>
        <w:rPr>
          <w:rFonts w:ascii="黑体" w:hAnsi="黑体" w:eastAsia="黑体"/>
          <w:b/>
          <w:bCs/>
          <w:sz w:val="44"/>
          <w:szCs w:val="44"/>
        </w:rPr>
      </w:pPr>
      <w:r>
        <w:rPr>
          <w:rFonts w:hint="eastAsia" w:ascii="黑体" w:hAnsi="黑体" w:eastAsia="黑体"/>
          <w:b/>
          <w:bCs/>
          <w:sz w:val="44"/>
          <w:szCs w:val="44"/>
        </w:rPr>
        <w:t>第二部分 部门决算表</w: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（详情见附件）</w:t>
      </w:r>
    </w:p>
    <w:p>
      <w:pPr>
        <w:spacing w:line="600" w:lineRule="exact"/>
        <w:ind w:firstLine="640" w:firstLineChars="200"/>
        <w:rPr>
          <w:rFonts w:ascii="仿宋" w:hAnsi="仿宋" w:eastAsia="仿宋"/>
          <w:sz w:val="32"/>
          <w:szCs w:val="32"/>
        </w:rPr>
      </w:pPr>
    </w:p>
    <w:p>
      <w:pPr>
        <w:spacing w:line="600" w:lineRule="exact"/>
        <w:ind w:firstLine="883" w:firstLineChars="200"/>
        <w:rPr>
          <w:rFonts w:ascii="黑体" w:hAnsi="黑体" w:eastAsia="黑体"/>
          <w:b/>
          <w:bCs/>
          <w:sz w:val="44"/>
          <w:szCs w:val="44"/>
        </w:rPr>
      </w:pPr>
      <w:r>
        <w:rPr>
          <w:rFonts w:hint="eastAsia" w:ascii="黑体" w:hAnsi="黑体" w:eastAsia="黑体"/>
          <w:b/>
          <w:bCs/>
          <w:sz w:val="44"/>
          <w:szCs w:val="44"/>
        </w:rPr>
        <w:t xml:space="preserve">第三部分 </w:t>
      </w:r>
      <w:r>
        <w:rPr>
          <w:rFonts w:ascii="黑体" w:hAnsi="黑体" w:eastAsia="黑体"/>
          <w:b/>
          <w:bCs/>
          <w:sz w:val="44"/>
          <w:szCs w:val="44"/>
        </w:rPr>
        <w:t>2021年度部门决算情况说明</w:t>
      </w:r>
    </w:p>
    <w:p>
      <w:pPr>
        <w:spacing w:line="600" w:lineRule="exact"/>
        <w:rPr>
          <w:rFonts w:hint="eastAsia" w:ascii="仿宋" w:hAnsi="仿宋" w:eastAsia="仿宋"/>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一、收入支出决算总体情况说明</w:t>
      </w:r>
    </w:p>
    <w:p>
      <w:pPr>
        <w:spacing w:line="600" w:lineRule="exact"/>
        <w:ind w:firstLine="640" w:firstLineChars="200"/>
        <w:rPr>
          <w:rFonts w:ascii="仿宋" w:hAnsi="仿宋" w:eastAsia="仿宋"/>
          <w:sz w:val="32"/>
          <w:szCs w:val="32"/>
        </w:rPr>
      </w:pPr>
      <w:r>
        <w:rPr>
          <w:rFonts w:ascii="仿宋" w:hAnsi="仿宋" w:eastAsia="仿宋"/>
          <w:sz w:val="32"/>
          <w:szCs w:val="32"/>
        </w:rPr>
        <w:t>2021年度收入总计486.71万元，支出总计486.71万元。与上年相比，增加486.71万元，增长100%，主要是因为2020年我中心无独立行政经费。</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二、收入决算情况说明</w:t>
      </w:r>
    </w:p>
    <w:p>
      <w:pPr>
        <w:spacing w:line="600" w:lineRule="exact"/>
        <w:ind w:firstLine="640" w:firstLineChars="200"/>
        <w:rPr>
          <w:rFonts w:ascii="仿宋" w:hAnsi="仿宋" w:eastAsia="仿宋"/>
          <w:sz w:val="32"/>
          <w:szCs w:val="32"/>
        </w:rPr>
      </w:pPr>
      <w:r>
        <w:rPr>
          <w:rFonts w:ascii="仿宋" w:hAnsi="仿宋" w:eastAsia="仿宋"/>
          <w:sz w:val="32"/>
          <w:szCs w:val="32"/>
        </w:rPr>
        <w:t>2021年度收入合计486.71万元，其中：财政拨款收入486.71万元，占100%；上级补助收入0.00万元，占0%；事业收入0.00万元，占0%；经营收入0.00万元，占0%；附属单位上缴收入0.00万元，占0%；其他收入0.00万元，占0%。</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三、支出决算情况说明</w:t>
      </w:r>
    </w:p>
    <w:p>
      <w:pPr>
        <w:spacing w:line="600" w:lineRule="exact"/>
        <w:ind w:firstLine="640" w:firstLineChars="200"/>
        <w:rPr>
          <w:rFonts w:ascii="仿宋" w:hAnsi="仿宋" w:eastAsia="仿宋"/>
          <w:sz w:val="32"/>
          <w:szCs w:val="32"/>
        </w:rPr>
      </w:pPr>
      <w:r>
        <w:rPr>
          <w:rFonts w:ascii="仿宋" w:hAnsi="仿宋" w:eastAsia="仿宋"/>
          <w:sz w:val="32"/>
          <w:szCs w:val="32"/>
        </w:rPr>
        <w:t>2021年度支出合计486.71万元，其中：基本支出486.71万元，占100%；项目支出0.00万元，占0%；上缴上级支出0.00万元，占0%；经营支出0.00万元，占0%；对附属单位补助支出0.00万元，占0%。</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四、财政拨款收入支出决算总体情况说明</w:t>
      </w:r>
    </w:p>
    <w:p>
      <w:pPr>
        <w:spacing w:line="600" w:lineRule="exact"/>
        <w:ind w:firstLine="640" w:firstLineChars="200"/>
        <w:rPr>
          <w:rFonts w:hint="eastAsia" w:ascii="仿宋" w:hAnsi="仿宋" w:eastAsia="仿宋"/>
          <w:sz w:val="32"/>
          <w:szCs w:val="32"/>
          <w:lang w:eastAsia="zh-CN"/>
        </w:rPr>
      </w:pPr>
      <w:r>
        <w:rPr>
          <w:rFonts w:ascii="仿宋" w:hAnsi="仿宋" w:eastAsia="仿宋"/>
          <w:sz w:val="32"/>
          <w:szCs w:val="32"/>
        </w:rPr>
        <w:t>2021年度财政拨款收、支总计</w:t>
      </w:r>
      <w:r>
        <w:rPr>
          <w:rFonts w:hint="eastAsia" w:ascii="仿宋" w:hAnsi="仿宋" w:eastAsia="仿宋"/>
          <w:sz w:val="32"/>
          <w:szCs w:val="32"/>
        </w:rPr>
        <w:t>各</w:t>
      </w:r>
      <w:r>
        <w:rPr>
          <w:rFonts w:ascii="仿宋" w:hAnsi="仿宋" w:eastAsia="仿宋"/>
          <w:sz w:val="32"/>
          <w:szCs w:val="32"/>
        </w:rPr>
        <w:t>486.71万元，与上年相比，增加486.71万元,增长100%，主要是因为2020年我中心无独立行政经费</w:t>
      </w:r>
      <w:r>
        <w:rPr>
          <w:rFonts w:hint="eastAsia" w:ascii="仿宋" w:hAnsi="仿宋" w:eastAsia="仿宋"/>
          <w:sz w:val="32"/>
          <w:szCs w:val="32"/>
          <w:lang w:eastAsia="zh-CN"/>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五、一般公共预算财政拨款支出决算情况说明</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（一）财政拨款支出决算总体情况</w:t>
      </w:r>
    </w:p>
    <w:p>
      <w:pPr>
        <w:spacing w:line="600" w:lineRule="exact"/>
        <w:ind w:firstLine="640" w:firstLineChars="200"/>
        <w:rPr>
          <w:rFonts w:ascii="仿宋" w:hAnsi="仿宋" w:eastAsia="仿宋"/>
          <w:sz w:val="32"/>
          <w:szCs w:val="32"/>
        </w:rPr>
      </w:pPr>
      <w:r>
        <w:rPr>
          <w:rFonts w:ascii="仿宋" w:hAnsi="仿宋" w:eastAsia="仿宋"/>
          <w:sz w:val="32"/>
          <w:szCs w:val="32"/>
        </w:rPr>
        <w:t>2021年度财政拨款支出486.71万元，占本年支出合计的100%，与上年相比，财政拨款支出增加486.71万元，增长100%，主要是因为2020年我中心无独立行政经费。</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（二）财政拨款支出决算结构情况</w:t>
      </w:r>
    </w:p>
    <w:p>
      <w:pPr>
        <w:spacing w:line="600" w:lineRule="exact"/>
        <w:ind w:firstLine="640" w:firstLineChars="200"/>
        <w:rPr>
          <w:rFonts w:ascii="仿宋" w:hAnsi="仿宋" w:eastAsia="仿宋"/>
          <w:sz w:val="32"/>
          <w:szCs w:val="32"/>
        </w:rPr>
      </w:pPr>
      <w:r>
        <w:rPr>
          <w:rFonts w:ascii="仿宋" w:hAnsi="仿宋" w:eastAsia="仿宋"/>
          <w:sz w:val="32"/>
          <w:szCs w:val="32"/>
        </w:rPr>
        <w:t>2021年度财政拨款支出486.71万元，主要用于以下方面：社会保障和就业（类）支出341万元，占比70.06%；卫生健康（类）支出145.71万元，占29.94%;其他（类）支出0.00万元，占比0%。</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（三）财政拨款支出决算具体情况</w:t>
      </w:r>
    </w:p>
    <w:p>
      <w:pPr>
        <w:spacing w:line="600" w:lineRule="exact"/>
        <w:ind w:firstLine="640" w:firstLineChars="200"/>
        <w:rPr>
          <w:rFonts w:ascii="仿宋" w:hAnsi="仿宋" w:eastAsia="仿宋"/>
          <w:sz w:val="32"/>
          <w:szCs w:val="32"/>
        </w:rPr>
      </w:pPr>
      <w:r>
        <w:rPr>
          <w:rFonts w:ascii="仿宋" w:hAnsi="仿宋" w:eastAsia="仿宋"/>
          <w:sz w:val="32"/>
          <w:szCs w:val="32"/>
        </w:rPr>
        <w:t>2021年度财政拨款支出年初预算数为486.71万元，支出决算数为486.71万元，完成年初预算的100%，其中：</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1、社会保障和就业支出（类）人力资源和社会保障管理事务（款）社会保险业务管理事务（项）。</w:t>
      </w:r>
    </w:p>
    <w:p>
      <w:pPr>
        <w:spacing w:line="600" w:lineRule="exact"/>
        <w:ind w:firstLine="640" w:firstLineChars="200"/>
        <w:rPr>
          <w:rFonts w:hint="eastAsia" w:ascii="仿宋" w:hAnsi="仿宋" w:eastAsia="仿宋"/>
          <w:sz w:val="32"/>
          <w:szCs w:val="32"/>
        </w:rPr>
      </w:pPr>
      <w:r>
        <w:rPr>
          <w:rFonts w:ascii="仿宋" w:hAnsi="仿宋" w:eastAsia="仿宋"/>
          <w:sz w:val="32"/>
          <w:szCs w:val="32"/>
        </w:rPr>
        <w:t>年初预算为195.63万元，支出决算为195.63万元，完成年初预算100%</w:t>
      </w:r>
      <w:r>
        <w:rPr>
          <w:rFonts w:hint="eastAsia" w:ascii="仿宋" w:hAnsi="仿宋" w:eastAsia="仿宋"/>
          <w:sz w:val="32"/>
          <w:szCs w:val="32"/>
        </w:rPr>
        <w:t>，主要原因是厉行节约，按预算执行。</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2、社会保障和就业支出（类）人力资源和社会保障管理事务（款）社会保险经办机构（项）。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104.97万元，支出决算为104.97万元，完成年初预算的100%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3、社会保障和就业支出（类）行政事业单位养老支出（款）机关事业单位基本养老保险缴费支出（项）。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27.49万元，支出决算为27.49万元，完成年初预算的100%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4、社会保障和就业支出（类）行政事业单位养老支出（款）其他行政事业单位养老支出（项）。</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10.15万元，支出决算为10.15万元，完成年初预算的100%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5、社会保障和就业支出（类）就业补助（款）公益性岗位补贴（项）。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2.75万元，支出决算为2.75万元，完成年初预算的100%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6、卫生健康支出（类）行政事业单位医疗（款）行政单位医疗（项）。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13.97万元，支出决算为13.97万元，完成年初预算的100%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7、卫生健康支出（类）医疗保障管理事务（款）行政运行（项）。</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61.75万元，支出决算为61.75万元，完成年初预算的100%</w:t>
      </w:r>
      <w:r>
        <w:rPr>
          <w:rFonts w:hint="eastAsia" w:ascii="仿宋" w:hAnsi="仿宋" w:eastAsia="仿宋"/>
          <w:sz w:val="32"/>
          <w:szCs w:val="32"/>
        </w:rPr>
        <w:t>，主要原因是厉行节约，按预算执行。</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8、卫生健康支出（类）医疗保障管理事务（款）医疗保障政策管理（项）。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50万元，支出决算为50万元，完成年初预算的100%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3" w:firstLineChars="200"/>
        <w:rPr>
          <w:rFonts w:ascii="仿宋" w:hAnsi="仿宋" w:eastAsia="仿宋"/>
          <w:b/>
          <w:bCs/>
          <w:sz w:val="32"/>
          <w:szCs w:val="32"/>
        </w:rPr>
      </w:pPr>
      <w:r>
        <w:rPr>
          <w:rFonts w:ascii="仿宋" w:hAnsi="仿宋" w:eastAsia="仿宋"/>
          <w:b/>
          <w:bCs/>
          <w:sz w:val="32"/>
          <w:szCs w:val="32"/>
        </w:rPr>
        <w:t>9、卫生健康支出（类）医疗保障管理事务（款）其他医疗保障管理事务支出（项）。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年初预算为</w:t>
      </w:r>
      <w:r>
        <w:rPr>
          <w:rFonts w:ascii="仿宋" w:hAnsi="仿宋" w:eastAsia="仿宋"/>
          <w:sz w:val="32"/>
          <w:szCs w:val="32"/>
        </w:rPr>
        <w:t>20万元，支出决算为20万元，完成年初预算的100%</w:t>
      </w:r>
      <w:r>
        <w:rPr>
          <w:rFonts w:hint="eastAsia" w:ascii="仿宋" w:hAnsi="仿宋" w:eastAsia="仿宋"/>
          <w:sz w:val="32"/>
          <w:szCs w:val="32"/>
        </w:rPr>
        <w:t>，主要原因是厉行节约，按预算执行</w:t>
      </w:r>
      <w:r>
        <w:rPr>
          <w:rFonts w:ascii="仿宋" w:hAnsi="仿宋" w:eastAsia="仿宋"/>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六、一般公共预算财政拨款基本支出决算情况说明</w:t>
      </w:r>
    </w:p>
    <w:p>
      <w:pPr>
        <w:spacing w:line="600" w:lineRule="exact"/>
        <w:ind w:firstLine="640" w:firstLineChars="200"/>
        <w:rPr>
          <w:rFonts w:ascii="仿宋" w:hAnsi="仿宋" w:eastAsia="仿宋"/>
          <w:sz w:val="32"/>
          <w:szCs w:val="32"/>
        </w:rPr>
      </w:pPr>
      <w:r>
        <w:rPr>
          <w:rFonts w:ascii="仿宋" w:hAnsi="仿宋" w:eastAsia="仿宋"/>
          <w:sz w:val="32"/>
          <w:szCs w:val="32"/>
        </w:rPr>
        <w:t>2021年度财政拨款基本支出486.71万元，其中：人员经费319.84万元，占基本支出的65.71%,主要包括基本工资、津贴补贴、奖金、伙食补助费等公用经费166.87万元，占基本支出34.29%，主要包括办公费、水电费、差旅费、维修费、物业费、会议费等。</w:t>
      </w:r>
    </w:p>
    <w:p>
      <w:pPr>
        <w:spacing w:line="600" w:lineRule="exact"/>
        <w:ind w:firstLine="640" w:firstLineChars="200"/>
        <w:rPr>
          <w:rFonts w:ascii="黑体" w:hAnsi="黑体" w:eastAsia="黑体"/>
          <w:sz w:val="32"/>
          <w:szCs w:val="32"/>
        </w:rPr>
      </w:pPr>
      <w:r>
        <w:rPr>
          <w:rFonts w:ascii="黑体" w:hAnsi="黑体" w:eastAsia="黑体"/>
          <w:sz w:val="32"/>
          <w:szCs w:val="32"/>
        </w:rPr>
        <w:t>七、一般公共预算财政拨款“三公”经费支出决算情况说明</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（一）“三公”经费财政拨款支出决算总体情况说明</w:t>
      </w:r>
    </w:p>
    <w:p>
      <w:pPr>
        <w:spacing w:line="600" w:lineRule="exact"/>
        <w:ind w:firstLine="640" w:firstLineChars="200"/>
        <w:rPr>
          <w:rFonts w:ascii="仿宋" w:hAnsi="仿宋" w:eastAsia="仿宋"/>
          <w:sz w:val="32"/>
          <w:szCs w:val="32"/>
        </w:rPr>
      </w:pPr>
      <w:r>
        <w:rPr>
          <w:rFonts w:ascii="仿宋" w:hAnsi="仿宋" w:eastAsia="仿宋"/>
          <w:sz w:val="32"/>
          <w:szCs w:val="32"/>
        </w:rPr>
        <w:t>2021年度“三公”经费财政拨款支出预算为13万元，支出决算为2.13万元，完成预算的16.38%，其中：</w:t>
      </w:r>
    </w:p>
    <w:p>
      <w:pPr>
        <w:spacing w:line="600" w:lineRule="exact"/>
        <w:ind w:firstLine="640" w:firstLineChars="200"/>
        <w:rPr>
          <w:rFonts w:hint="eastAsia" w:ascii="仿宋" w:hAnsi="仿宋" w:eastAsia="仿宋"/>
          <w:sz w:val="32"/>
          <w:szCs w:val="32"/>
        </w:rPr>
      </w:pP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、因公出国（境）费支出预算为</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万元，支出决算为0万元</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决算数与年初预算数持平，主要原因按预算执行，与上年数持平，主要原因本年度未安排因公出国（境）。</w:t>
      </w:r>
    </w:p>
    <w:p>
      <w:p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2、公务接待费支出预算为</w:t>
      </w:r>
      <w:r>
        <w:rPr>
          <w:rFonts w:ascii="仿宋" w:hAnsi="仿宋" w:eastAsia="仿宋"/>
          <w:sz w:val="32"/>
          <w:szCs w:val="32"/>
        </w:rPr>
        <w:t>10万元，支出决算为2.13万元，完成预算的21.3%，决算数小于预算数的主要原因是我单位本着厉行节约的原则，严格控制公务接待的次数与费用</w:t>
      </w:r>
      <w:r>
        <w:rPr>
          <w:rFonts w:hint="eastAsia" w:ascii="仿宋" w:hAnsi="仿宋" w:eastAsia="仿宋"/>
          <w:sz w:val="32"/>
          <w:szCs w:val="32"/>
          <w:lang w:eastAsia="zh-CN"/>
        </w:rPr>
        <w:t>。</w:t>
      </w:r>
      <w:r>
        <w:rPr>
          <w:rFonts w:hint="eastAsia" w:ascii="仿宋" w:hAnsi="仿宋" w:eastAsia="仿宋" w:cs="仿宋"/>
          <w:color w:val="000000" w:themeColor="text1"/>
          <w:sz w:val="32"/>
          <w:szCs w:val="32"/>
          <w14:textFill>
            <w14:solidFill>
              <w14:schemeClr w14:val="tx1"/>
            </w14:solidFill>
          </w14:textFill>
        </w:rPr>
        <w:t>与上年数持平，主要原因</w:t>
      </w:r>
      <w:r>
        <w:rPr>
          <w:rFonts w:hint="eastAsia" w:ascii="仿宋" w:hAnsi="仿宋" w:eastAsia="仿宋" w:cs="仿宋"/>
          <w:color w:val="000000" w:themeColor="text1"/>
          <w:sz w:val="32"/>
          <w:szCs w:val="32"/>
          <w:lang w:val="en-US" w:eastAsia="zh-CN"/>
          <w14:textFill>
            <w14:solidFill>
              <w14:schemeClr w14:val="tx1"/>
            </w14:solidFill>
          </w14:textFill>
        </w:rPr>
        <w:t>厉行节约减少开支。</w:t>
      </w:r>
    </w:p>
    <w:p>
      <w:pPr>
        <w:spacing w:line="600" w:lineRule="exact"/>
        <w:ind w:firstLine="640" w:firstLineChars="200"/>
        <w:rPr>
          <w:rFonts w:hint="eastAsia" w:ascii="仿宋" w:hAnsi="仿宋" w:eastAsia="仿宋"/>
          <w:sz w:val="32"/>
          <w:szCs w:val="32"/>
          <w:lang w:val="en-US" w:eastAsia="zh-CN"/>
        </w:rPr>
      </w:pPr>
      <w:r>
        <w:rPr>
          <w:rFonts w:ascii="仿宋" w:hAnsi="仿宋" w:eastAsia="仿宋"/>
          <w:sz w:val="32"/>
          <w:szCs w:val="32"/>
        </w:rPr>
        <w:t>3</w:t>
      </w:r>
      <w:r>
        <w:rPr>
          <w:rFonts w:hint="eastAsia" w:ascii="仿宋" w:hAnsi="仿宋" w:eastAsia="仿宋"/>
          <w:sz w:val="32"/>
          <w:szCs w:val="32"/>
        </w:rPr>
        <w:t>、公务用车购置费及运行维护费支出预算为</w:t>
      </w:r>
      <w:r>
        <w:rPr>
          <w:rFonts w:ascii="仿宋" w:hAnsi="仿宋" w:eastAsia="仿宋"/>
          <w:sz w:val="32"/>
          <w:szCs w:val="32"/>
        </w:rPr>
        <w:t>3万元，支出决算为0万元，完成预算的0%，决算数小于预算数的主要原因是我单位机构改革后无公务用车。</w:t>
      </w:r>
      <w:r>
        <w:rPr>
          <w:rFonts w:hint="eastAsia" w:ascii="仿宋" w:hAnsi="仿宋" w:eastAsia="仿宋" w:cs="仿宋"/>
          <w:color w:val="000000" w:themeColor="text1"/>
          <w:sz w:val="32"/>
          <w:szCs w:val="32"/>
          <w14:textFill>
            <w14:solidFill>
              <w14:schemeClr w14:val="tx1"/>
            </w14:solidFill>
          </w14:textFill>
        </w:rPr>
        <w:t>与上年数持平，主要原因</w:t>
      </w:r>
      <w:r>
        <w:rPr>
          <w:rFonts w:hint="eastAsia" w:ascii="仿宋" w:hAnsi="仿宋" w:eastAsia="仿宋" w:cs="仿宋"/>
          <w:color w:val="000000" w:themeColor="text1"/>
          <w:sz w:val="32"/>
          <w:szCs w:val="32"/>
          <w:lang w:val="en-US" w:eastAsia="zh-CN"/>
          <w14:textFill>
            <w14:solidFill>
              <w14:schemeClr w14:val="tx1"/>
            </w14:solidFill>
          </w14:textFill>
        </w:rPr>
        <w:t>厉行节约减少开支。</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（二）“三公”经费财政拨款支出决算具体情况说明</w:t>
      </w:r>
    </w:p>
    <w:p>
      <w:pPr>
        <w:spacing w:line="600" w:lineRule="exact"/>
        <w:ind w:firstLine="640" w:firstLineChars="200"/>
        <w:rPr>
          <w:rFonts w:ascii="仿宋" w:hAnsi="仿宋" w:eastAsia="仿宋"/>
          <w:sz w:val="32"/>
          <w:szCs w:val="32"/>
        </w:rPr>
      </w:pPr>
      <w:r>
        <w:rPr>
          <w:rFonts w:ascii="仿宋" w:hAnsi="仿宋" w:eastAsia="仿宋"/>
          <w:sz w:val="32"/>
          <w:szCs w:val="32"/>
        </w:rPr>
        <w:t>2021年度“三公”经费财政拨款支出决算中，公务接待费支出决算2.13万元，占100%,因公出国（境）费支出决算0万元，占0%,公务用车购置费及运行维护费支出决算0万元，占0%。其中：</w:t>
      </w:r>
    </w:p>
    <w:p>
      <w:pPr>
        <w:spacing w:line="600" w:lineRule="exact"/>
        <w:ind w:firstLine="640" w:firstLineChars="200"/>
        <w:rPr>
          <w:rFonts w:ascii="仿宋" w:hAnsi="仿宋" w:eastAsia="仿宋"/>
          <w:sz w:val="32"/>
          <w:szCs w:val="32"/>
        </w:rPr>
      </w:pPr>
      <w:r>
        <w:rPr>
          <w:rFonts w:ascii="仿宋" w:hAnsi="仿宋" w:eastAsia="仿宋"/>
          <w:sz w:val="32"/>
          <w:szCs w:val="32"/>
        </w:rPr>
        <w:t>1、因公出国（境）费支出决算为0万元，全年安排因公出国（境）团组0个，累计0人次。</w:t>
      </w:r>
    </w:p>
    <w:p>
      <w:pPr>
        <w:spacing w:line="600" w:lineRule="exact"/>
        <w:ind w:firstLine="640" w:firstLineChars="200"/>
        <w:rPr>
          <w:rFonts w:ascii="仿宋" w:hAnsi="仿宋" w:eastAsia="仿宋"/>
          <w:sz w:val="32"/>
          <w:szCs w:val="32"/>
        </w:rPr>
      </w:pPr>
      <w:r>
        <w:rPr>
          <w:rFonts w:ascii="仿宋" w:hAnsi="仿宋" w:eastAsia="仿宋"/>
          <w:sz w:val="32"/>
          <w:szCs w:val="32"/>
        </w:rPr>
        <w:t>2、公务接待费支出决算为2.13万元，全年共接待来访团组31个、来宾218人次，主要是对接公务发生的接待支出。</w:t>
      </w:r>
    </w:p>
    <w:p>
      <w:pPr>
        <w:spacing w:line="60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cs="仿宋"/>
          <w:i w:val="0"/>
          <w:iCs w:val="0"/>
          <w:caps w:val="0"/>
          <w:color w:val="auto"/>
          <w:spacing w:val="0"/>
          <w:sz w:val="32"/>
          <w:szCs w:val="32"/>
          <w:highlight w:val="none"/>
          <w:shd w:val="clear" w:color="auto" w:fill="FFFFFF"/>
        </w:rPr>
        <w:t>公务用车购置费及运行维护费支出决算为</w:t>
      </w:r>
      <w:r>
        <w:rPr>
          <w:rFonts w:hint="eastAsia" w:ascii="仿宋" w:hAnsi="仿宋" w:eastAsia="仿宋" w:cs="仿宋"/>
          <w:i w:val="0"/>
          <w:iCs w:val="0"/>
          <w:caps w:val="0"/>
          <w:color w:val="auto"/>
          <w:spacing w:val="0"/>
          <w:sz w:val="32"/>
          <w:szCs w:val="32"/>
          <w:highlight w:val="none"/>
          <w:shd w:val="clear" w:color="auto" w:fill="FFFFFF"/>
          <w:lang w:val="en-US" w:eastAsia="zh-CN"/>
        </w:rPr>
        <w:t>0</w:t>
      </w:r>
      <w:r>
        <w:rPr>
          <w:rFonts w:hint="eastAsia" w:ascii="仿宋" w:hAnsi="仿宋" w:eastAsia="仿宋" w:cs="仿宋"/>
          <w:i w:val="0"/>
          <w:iCs w:val="0"/>
          <w:caps w:val="0"/>
          <w:color w:val="auto"/>
          <w:spacing w:val="0"/>
          <w:sz w:val="32"/>
          <w:szCs w:val="32"/>
          <w:highlight w:val="none"/>
          <w:shd w:val="clear" w:color="auto" w:fill="FFFFFF"/>
        </w:rPr>
        <w:t>万元，其中：公务用车购置费</w:t>
      </w:r>
      <w:r>
        <w:rPr>
          <w:rFonts w:hint="eastAsia" w:ascii="仿宋" w:hAnsi="仿宋" w:eastAsia="仿宋" w:cs="仿宋"/>
          <w:i w:val="0"/>
          <w:iCs w:val="0"/>
          <w:caps w:val="0"/>
          <w:color w:val="auto"/>
          <w:spacing w:val="0"/>
          <w:sz w:val="32"/>
          <w:szCs w:val="32"/>
          <w:highlight w:val="none"/>
          <w:shd w:val="clear" w:color="auto" w:fill="FFFFFF"/>
          <w:lang w:val="en-US" w:eastAsia="zh-CN"/>
        </w:rPr>
        <w:t>0</w:t>
      </w:r>
      <w:r>
        <w:rPr>
          <w:rFonts w:hint="eastAsia" w:ascii="仿宋" w:hAnsi="仿宋" w:eastAsia="仿宋" w:cs="仿宋"/>
          <w:i w:val="0"/>
          <w:iCs w:val="0"/>
          <w:caps w:val="0"/>
          <w:color w:val="auto"/>
          <w:spacing w:val="0"/>
          <w:sz w:val="32"/>
          <w:szCs w:val="32"/>
          <w:highlight w:val="none"/>
          <w:shd w:val="clear" w:color="auto" w:fill="FFFFFF"/>
        </w:rPr>
        <w:t>万元，更新公务用车</w:t>
      </w:r>
      <w:r>
        <w:rPr>
          <w:rFonts w:hint="eastAsia" w:ascii="仿宋" w:hAnsi="仿宋" w:eastAsia="仿宋" w:cs="仿宋"/>
          <w:i w:val="0"/>
          <w:iCs w:val="0"/>
          <w:caps w:val="0"/>
          <w:color w:val="auto"/>
          <w:spacing w:val="0"/>
          <w:sz w:val="32"/>
          <w:szCs w:val="32"/>
          <w:highlight w:val="none"/>
          <w:shd w:val="clear" w:color="auto" w:fill="FFFFFF"/>
          <w:lang w:val="en-US" w:eastAsia="zh-CN"/>
        </w:rPr>
        <w:t>0</w:t>
      </w:r>
      <w:r>
        <w:rPr>
          <w:rFonts w:hint="eastAsia" w:ascii="仿宋" w:hAnsi="仿宋" w:eastAsia="仿宋" w:cs="仿宋"/>
          <w:i w:val="0"/>
          <w:iCs w:val="0"/>
          <w:caps w:val="0"/>
          <w:color w:val="auto"/>
          <w:spacing w:val="0"/>
          <w:sz w:val="32"/>
          <w:szCs w:val="32"/>
          <w:highlight w:val="none"/>
          <w:shd w:val="clear" w:color="auto" w:fill="FFFFFF"/>
        </w:rPr>
        <w:t>辆。公务用车运行维护费</w:t>
      </w:r>
      <w:r>
        <w:rPr>
          <w:rFonts w:hint="eastAsia" w:ascii="仿宋" w:hAnsi="仿宋" w:eastAsia="仿宋" w:cs="仿宋"/>
          <w:i w:val="0"/>
          <w:iCs w:val="0"/>
          <w:caps w:val="0"/>
          <w:color w:val="auto"/>
          <w:spacing w:val="0"/>
          <w:sz w:val="32"/>
          <w:szCs w:val="32"/>
          <w:highlight w:val="none"/>
          <w:shd w:val="clear" w:color="auto" w:fill="FFFFFF"/>
          <w:lang w:val="en-US" w:eastAsia="zh-CN"/>
        </w:rPr>
        <w:t>0</w:t>
      </w:r>
      <w:r>
        <w:rPr>
          <w:rFonts w:hint="eastAsia" w:ascii="仿宋" w:hAnsi="仿宋" w:eastAsia="仿宋" w:cs="仿宋"/>
          <w:i w:val="0"/>
          <w:iCs w:val="0"/>
          <w:caps w:val="0"/>
          <w:color w:val="auto"/>
          <w:spacing w:val="0"/>
          <w:sz w:val="32"/>
          <w:szCs w:val="32"/>
          <w:highlight w:val="none"/>
          <w:shd w:val="clear" w:color="auto" w:fill="FFFFFF"/>
        </w:rPr>
        <w:t>万元，截止202</w:t>
      </w:r>
      <w:r>
        <w:rPr>
          <w:rFonts w:hint="eastAsia" w:ascii="仿宋" w:hAnsi="仿宋" w:eastAsia="仿宋" w:cs="仿宋"/>
          <w:i w:val="0"/>
          <w:iCs w:val="0"/>
          <w:caps w:val="0"/>
          <w:color w:val="auto"/>
          <w:spacing w:val="0"/>
          <w:sz w:val="32"/>
          <w:szCs w:val="32"/>
          <w:highlight w:val="none"/>
          <w:shd w:val="clear" w:color="auto" w:fill="FFFFFF"/>
          <w:lang w:val="en-US" w:eastAsia="zh-CN"/>
        </w:rPr>
        <w:t>1</w:t>
      </w:r>
      <w:r>
        <w:rPr>
          <w:rFonts w:hint="eastAsia" w:ascii="仿宋" w:hAnsi="仿宋" w:eastAsia="仿宋" w:cs="仿宋"/>
          <w:i w:val="0"/>
          <w:iCs w:val="0"/>
          <w:caps w:val="0"/>
          <w:color w:val="auto"/>
          <w:spacing w:val="0"/>
          <w:sz w:val="32"/>
          <w:szCs w:val="32"/>
          <w:highlight w:val="none"/>
          <w:shd w:val="clear" w:color="auto" w:fill="FFFFFF"/>
        </w:rPr>
        <w:t>年12月31日，我单位开支财政拨款的公务用车保有量为</w:t>
      </w:r>
      <w:r>
        <w:rPr>
          <w:rFonts w:hint="eastAsia" w:ascii="仿宋" w:hAnsi="仿宋" w:eastAsia="仿宋" w:cs="仿宋"/>
          <w:i w:val="0"/>
          <w:iCs w:val="0"/>
          <w:caps w:val="0"/>
          <w:color w:val="auto"/>
          <w:spacing w:val="0"/>
          <w:sz w:val="32"/>
          <w:szCs w:val="32"/>
          <w:highlight w:val="none"/>
          <w:shd w:val="clear" w:color="auto" w:fill="FFFFFF"/>
          <w:lang w:val="en-US" w:eastAsia="zh-CN"/>
        </w:rPr>
        <w:t>0</w:t>
      </w:r>
      <w:r>
        <w:rPr>
          <w:rFonts w:hint="eastAsia" w:ascii="仿宋" w:hAnsi="仿宋" w:eastAsia="仿宋" w:cs="仿宋"/>
          <w:i w:val="0"/>
          <w:iCs w:val="0"/>
          <w:caps w:val="0"/>
          <w:color w:val="auto"/>
          <w:spacing w:val="0"/>
          <w:sz w:val="32"/>
          <w:szCs w:val="32"/>
          <w:highlight w:val="none"/>
          <w:shd w:val="clear" w:color="auto" w:fill="FFFFFF"/>
        </w:rPr>
        <w:t>辆</w:t>
      </w:r>
      <w:r>
        <w:rPr>
          <w:rFonts w:hint="eastAsia" w:ascii="仿宋" w:hAnsi="仿宋" w:eastAsia="仿宋" w:cs="仿宋"/>
          <w:i w:val="0"/>
          <w:iCs w:val="0"/>
          <w:caps w:val="0"/>
          <w:color w:val="auto"/>
          <w:spacing w:val="0"/>
          <w:sz w:val="32"/>
          <w:szCs w:val="32"/>
          <w:highlight w:val="none"/>
          <w:shd w:val="clear" w:color="auto" w:fill="FFFFFF"/>
          <w:lang w:eastAsia="zh-CN"/>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八、政府性基金预算收入支出决算情况</w:t>
      </w:r>
    </w:p>
    <w:p>
      <w:pPr>
        <w:spacing w:line="600" w:lineRule="exact"/>
        <w:ind w:firstLine="640" w:firstLineChars="200"/>
        <w:rPr>
          <w:rFonts w:ascii="仿宋" w:hAnsi="仿宋" w:eastAsia="仿宋"/>
          <w:sz w:val="32"/>
          <w:szCs w:val="32"/>
        </w:rPr>
      </w:pPr>
      <w:r>
        <w:rPr>
          <w:rFonts w:ascii="仿宋" w:hAnsi="仿宋" w:eastAsia="仿宋"/>
          <w:sz w:val="32"/>
          <w:szCs w:val="32"/>
        </w:rPr>
        <w:t>我中心无政府性基金收支。</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九、国有资本经营预算财政拨款支出决算情况说明</w:t>
      </w:r>
    </w:p>
    <w:p>
      <w:pPr>
        <w:spacing w:line="600" w:lineRule="exact"/>
        <w:ind w:firstLine="640" w:firstLineChars="200"/>
        <w:rPr>
          <w:rFonts w:ascii="仿宋" w:hAnsi="仿宋" w:eastAsia="仿宋"/>
          <w:sz w:val="32"/>
          <w:szCs w:val="32"/>
        </w:rPr>
      </w:pPr>
      <w:r>
        <w:rPr>
          <w:rFonts w:ascii="仿宋" w:hAnsi="仿宋" w:eastAsia="仿宋"/>
          <w:sz w:val="32"/>
          <w:szCs w:val="32"/>
        </w:rPr>
        <w:t>我中心无国有资本经营预算财政拨款支出</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十、机关运行经费支出说明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本部门</w:t>
      </w:r>
      <w:r>
        <w:rPr>
          <w:rFonts w:ascii="仿宋" w:hAnsi="仿宋" w:eastAsia="仿宋"/>
          <w:sz w:val="32"/>
          <w:szCs w:val="32"/>
        </w:rPr>
        <w:t>2021年度机关运行经费支出166.87万元，比上年决算数增加166.87万元，增长率100%。主要原因是：2020年我中心无独立行政经费。</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十一、一般性支出情况说明</w:t>
      </w:r>
    </w:p>
    <w:p>
      <w:pPr>
        <w:spacing w:line="600" w:lineRule="exact"/>
        <w:ind w:firstLine="640" w:firstLineChars="200"/>
        <w:rPr>
          <w:rFonts w:hint="eastAsia" w:ascii="仿宋" w:hAnsi="仿宋" w:eastAsia="仿宋"/>
          <w:sz w:val="32"/>
          <w:szCs w:val="32"/>
        </w:rPr>
      </w:pPr>
      <w:r>
        <w:rPr>
          <w:rFonts w:ascii="仿宋" w:hAnsi="仿宋" w:eastAsia="仿宋"/>
          <w:sz w:val="32"/>
          <w:szCs w:val="32"/>
        </w:rPr>
        <w:t>2021年本部门开支会议费0.62万元，用于召开全市医疗保障事务中心主任会议，人数39人，内容县市区就今年来的工作开展情况，工作中存在的问题和困难进行汇报讨论；用于召开全市医疗保障系统统计报表会议，人数29人，内容对全市医保基金统计报表工作人员进行专门业务学习，规范工作流程，提高医疗保障统计工作质量；无举办节庆、晚会、论坛、赛事活动开支。</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十二、政府采购支出说明</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本部门2021年度政府采购支出总额</w:t>
      </w:r>
      <w:r>
        <w:rPr>
          <w:rFonts w:hint="eastAsia" w:ascii="仿宋" w:hAnsi="仿宋" w:eastAsia="仿宋"/>
          <w:sz w:val="32"/>
          <w:szCs w:val="32"/>
          <w:lang w:val="en-US" w:eastAsia="zh-CN"/>
        </w:rPr>
        <w:t>13.92</w:t>
      </w:r>
      <w:r>
        <w:rPr>
          <w:rFonts w:hint="eastAsia" w:ascii="仿宋" w:hAnsi="仿宋" w:eastAsia="仿宋"/>
          <w:sz w:val="32"/>
          <w:szCs w:val="32"/>
          <w:lang w:eastAsia="zh-CN"/>
        </w:rPr>
        <w:t>万元，其中：政府采购货物支出</w:t>
      </w:r>
      <w:r>
        <w:rPr>
          <w:rFonts w:hint="eastAsia" w:ascii="仿宋" w:hAnsi="仿宋" w:eastAsia="仿宋"/>
          <w:sz w:val="32"/>
          <w:szCs w:val="32"/>
          <w:lang w:val="en-US" w:eastAsia="zh-CN"/>
        </w:rPr>
        <w:t>13.92</w:t>
      </w:r>
      <w:r>
        <w:rPr>
          <w:rFonts w:hint="eastAsia" w:ascii="仿宋" w:hAnsi="仿宋" w:eastAsia="仿宋"/>
          <w:sz w:val="32"/>
          <w:szCs w:val="32"/>
          <w:lang w:eastAsia="zh-CN"/>
        </w:rPr>
        <w:t>万元、政府采购工程支出0万元、政府采购服务支出0万元。授予中小企业合同金额</w:t>
      </w:r>
      <w:r>
        <w:rPr>
          <w:rFonts w:hint="eastAsia" w:ascii="仿宋" w:hAnsi="仿宋" w:eastAsia="仿宋"/>
          <w:sz w:val="32"/>
          <w:szCs w:val="32"/>
          <w:lang w:val="en-US" w:eastAsia="zh-CN"/>
        </w:rPr>
        <w:t>13.92</w:t>
      </w:r>
      <w:r>
        <w:rPr>
          <w:rFonts w:hint="eastAsia" w:ascii="仿宋" w:hAnsi="仿宋" w:eastAsia="仿宋"/>
          <w:sz w:val="32"/>
          <w:szCs w:val="32"/>
          <w:lang w:eastAsia="zh-CN"/>
        </w:rPr>
        <w:t>万元，占政府采购支出总额的</w:t>
      </w:r>
      <w:r>
        <w:rPr>
          <w:rFonts w:hint="eastAsia" w:ascii="仿宋" w:hAnsi="仿宋" w:eastAsia="仿宋"/>
          <w:sz w:val="32"/>
          <w:szCs w:val="32"/>
          <w:lang w:val="en-US" w:eastAsia="zh-CN"/>
        </w:rPr>
        <w:t>10</w:t>
      </w:r>
      <w:r>
        <w:rPr>
          <w:rFonts w:hint="eastAsia" w:ascii="仿宋" w:hAnsi="仿宋" w:eastAsia="仿宋"/>
          <w:sz w:val="32"/>
          <w:szCs w:val="32"/>
          <w:lang w:eastAsia="zh-CN"/>
        </w:rPr>
        <w:t>0%，其中：授予小微企业合同金额0万元，占政府采购支出总额的0%。</w:t>
      </w:r>
      <w:bookmarkStart w:id="0" w:name="_GoBack"/>
      <w:bookmarkEnd w:id="0"/>
    </w:p>
    <w:p>
      <w:pPr>
        <w:spacing w:line="600" w:lineRule="exact"/>
        <w:ind w:firstLine="640" w:firstLineChars="200"/>
        <w:rPr>
          <w:rFonts w:ascii="黑体" w:hAnsi="黑体" w:eastAsia="黑体"/>
          <w:sz w:val="32"/>
          <w:szCs w:val="32"/>
        </w:rPr>
      </w:pPr>
      <w:r>
        <w:rPr>
          <w:rFonts w:hint="eastAsia" w:ascii="黑体" w:hAnsi="黑体" w:eastAsia="黑体"/>
          <w:sz w:val="32"/>
          <w:szCs w:val="32"/>
        </w:rPr>
        <w:t>十三、国有资产占用情况说明</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sz w:val="32"/>
          <w:szCs w:val="32"/>
        </w:rPr>
        <w:t>截至</w:t>
      </w:r>
      <w:r>
        <w:rPr>
          <w:rFonts w:ascii="仿宋" w:hAnsi="仿宋" w:eastAsia="仿宋"/>
          <w:sz w:val="32"/>
          <w:szCs w:val="32"/>
        </w:rPr>
        <w:t>2021年12月31日，本单位无车辆，无单位价值50万元以上的通用设备、单位价值100万元以上的专用设备。</w:t>
      </w:r>
      <w:r>
        <w:rPr>
          <w:rFonts w:ascii="仿宋" w:hAnsi="仿宋" w:eastAsia="仿宋"/>
          <w:color w:val="000000" w:themeColor="text1"/>
          <w:sz w:val="32"/>
          <w:szCs w:val="32"/>
          <w14:textFill>
            <w14:solidFill>
              <w14:schemeClr w14:val="tx1"/>
            </w14:solidFill>
          </w14:textFill>
        </w:rPr>
        <w:t>2022年，</w:t>
      </w:r>
      <w:r>
        <w:rPr>
          <w:rFonts w:hint="eastAsia" w:ascii="仿宋" w:hAnsi="仿宋" w:eastAsia="仿宋" w:cs="仿宋"/>
          <w:bCs/>
          <w:color w:val="000000" w:themeColor="text1"/>
          <w:kern w:val="0"/>
          <w:sz w:val="32"/>
          <w:szCs w:val="32"/>
          <w14:textFill>
            <w14:solidFill>
              <w14:schemeClr w14:val="tx1"/>
            </w14:solidFill>
          </w14:textFill>
        </w:rPr>
        <w:t>拟新增配置公务用车</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辆，其中，机要通信用车</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辆，应急保障用车</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辆，执法执勤用车</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辆，特种专业技术用车</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辆，其他按照规定配备的公务用车</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辆；新增配备单位价值50万元以上通用设备</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台，单位价值100万元以上专用设备</w:t>
      </w:r>
      <w:r>
        <w:rPr>
          <w:rFonts w:ascii="仿宋" w:hAnsi="仿宋" w:eastAsia="仿宋" w:cs="仿宋"/>
          <w:bCs/>
          <w:color w:val="000000" w:themeColor="text1"/>
          <w:kern w:val="0"/>
          <w:sz w:val="32"/>
          <w:szCs w:val="32"/>
          <w14:textFill>
            <w14:solidFill>
              <w14:schemeClr w14:val="tx1"/>
            </w14:solidFill>
          </w14:textFill>
        </w:rPr>
        <w:t>0</w:t>
      </w:r>
      <w:r>
        <w:rPr>
          <w:rFonts w:hint="eastAsia" w:ascii="仿宋" w:hAnsi="仿宋" w:eastAsia="仿宋" w:cs="仿宋"/>
          <w:bCs/>
          <w:color w:val="000000" w:themeColor="text1"/>
          <w:kern w:val="0"/>
          <w:sz w:val="32"/>
          <w:szCs w:val="32"/>
          <w14:textFill>
            <w14:solidFill>
              <w14:schemeClr w14:val="tx1"/>
            </w14:solidFill>
          </w14:textFill>
        </w:rPr>
        <w:t>台。</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十四、</w:t>
      </w:r>
      <w:r>
        <w:rPr>
          <w:rFonts w:ascii="黑体" w:hAnsi="黑体" w:eastAsia="黑体"/>
          <w:sz w:val="32"/>
          <w:szCs w:val="32"/>
        </w:rPr>
        <w:t>2021年度预算绩效情况说明</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w:t>
      </w:r>
      <w:r>
        <w:rPr>
          <w:rFonts w:ascii="仿宋" w:hAnsi="仿宋" w:eastAsia="仿宋"/>
          <w:b/>
          <w:bCs/>
          <w:sz w:val="32"/>
          <w:szCs w:val="32"/>
        </w:rPr>
        <w:t>1）绩效管理评价工作开展情况。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根据预算绩效管理要求，我中心组织对</w:t>
      </w:r>
      <w:r>
        <w:rPr>
          <w:rFonts w:ascii="仿宋" w:hAnsi="仿宋" w:eastAsia="仿宋"/>
          <w:sz w:val="32"/>
          <w:szCs w:val="32"/>
        </w:rPr>
        <w:t>2021年度一般公共预算支出全面开展绩效自评，其中基本支出399.71万元，项目支出87万元，占一般公共预算支出总额的100%。</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我中心积极组织实施了</w:t>
      </w:r>
      <w:r>
        <w:rPr>
          <w:rFonts w:ascii="仿宋" w:hAnsi="仿宋" w:eastAsia="仿宋"/>
          <w:sz w:val="32"/>
          <w:szCs w:val="32"/>
        </w:rPr>
        <w:t>2021年度专项资金管理，建立了专项资金和项目管理制度，规范了实施程序，较好地完成了2021年度工作目标，但仍存在绩效目标不够细化、量化；预算调整率偏高等问题。根据《部门整体支出绩效评价指标表》，2021年度部门整体绩效自评综合评分为95分，评价等级为“优”。</w:t>
      </w:r>
    </w:p>
    <w:p>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w:t>
      </w:r>
      <w:r>
        <w:rPr>
          <w:rFonts w:ascii="仿宋" w:hAnsi="仿宋" w:eastAsia="仿宋"/>
          <w:b/>
          <w:bCs/>
          <w:sz w:val="32"/>
          <w:szCs w:val="32"/>
        </w:rPr>
        <w:t>2）部门决算中项目绩效自评结果。</w:t>
      </w:r>
    </w:p>
    <w:p>
      <w:pPr>
        <w:spacing w:line="600" w:lineRule="exact"/>
        <w:ind w:firstLine="640" w:firstLineChars="200"/>
        <w:rPr>
          <w:rFonts w:ascii="仿宋" w:hAnsi="仿宋" w:eastAsia="仿宋"/>
          <w:sz w:val="32"/>
          <w:szCs w:val="32"/>
        </w:rPr>
      </w:pPr>
      <w:r>
        <w:rPr>
          <w:rFonts w:ascii="仿宋" w:hAnsi="仿宋" w:eastAsia="仿宋"/>
          <w:sz w:val="32"/>
          <w:szCs w:val="32"/>
        </w:rPr>
        <w:t>1、2021年医疗生育保险基金参保登记、医保关系转移、医保待遇支付等工作经费项目绩效自评综述：根据年初设定的绩效目标，项目绩效自评得分为95分。项目全年预算数为48万元，执行数为41.33万元，完成预算的86.1%。项目绩效目标完成情况：2021年度计划新参保登记264家，新增参保人数2892人及以上，参保率计划达到97.9%，应保尽保为应收净收打下坚实的基础。发现的主要问题及原因：1、绩效管理意识待加强；2、预算执行率有待提高。下一步改进措施：1、以部门职能职责和绩效目标为基础，合理细化设置绩效目标，全</w:t>
      </w:r>
      <w:r>
        <w:rPr>
          <w:rFonts w:hint="eastAsia" w:ascii="仿宋" w:hAnsi="仿宋" w:eastAsia="仿宋"/>
          <w:sz w:val="32"/>
          <w:szCs w:val="32"/>
        </w:rPr>
        <w:t>面反映部门整体支出效益。对年初绩效目标各项内容填写规范、完整，有利于财政合理配置资源，节约财政资金，缓解供求矛盾，促进资源的有效配置。</w:t>
      </w:r>
      <w:r>
        <w:rPr>
          <w:rFonts w:ascii="仿宋" w:hAnsi="仿宋" w:eastAsia="仿宋"/>
          <w:sz w:val="32"/>
          <w:szCs w:val="32"/>
        </w:rPr>
        <w:t>2、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spacing w:line="600" w:lineRule="exact"/>
        <w:ind w:firstLine="640" w:firstLineChars="200"/>
        <w:rPr>
          <w:rFonts w:ascii="仿宋" w:hAnsi="仿宋" w:eastAsia="仿宋"/>
          <w:sz w:val="32"/>
          <w:szCs w:val="32"/>
        </w:rPr>
      </w:pPr>
      <w:r>
        <w:rPr>
          <w:rFonts w:ascii="仿宋" w:hAnsi="仿宋" w:eastAsia="仿宋"/>
          <w:sz w:val="32"/>
          <w:szCs w:val="32"/>
        </w:rPr>
        <w:t>2、2021年大病互助保险管理工作经费项目绩效自评综述：根据年初设定的绩效目标，项目绩效自评得分为94分。项目全年预算数为15万元，执行数为11.83万元，完成预算的78.87%。项目绩效目标完成情况：2021年度特困供养人员基本医疗费用救助比例100%；政策知晓率100%；救助保障率100%；强化医疗救助规范管理等。发现的主要问题及原因：1、绩效管理意识待加强；2、预算执行率有待提高。下一步改进措施：1、以部门职能职责和绩效目标为基础，合理细化设置绩效目标，全面反映部门整体支出效益。对年初绩效目标各项内容</w:t>
      </w:r>
      <w:r>
        <w:rPr>
          <w:rFonts w:hint="eastAsia" w:ascii="仿宋" w:hAnsi="仿宋" w:eastAsia="仿宋"/>
          <w:sz w:val="32"/>
          <w:szCs w:val="32"/>
        </w:rPr>
        <w:t>填写规范、完整，有利于财政合理配置资源，节约财政资金，缓解供求矛盾，促进资源的有效配置。</w:t>
      </w:r>
      <w:r>
        <w:rPr>
          <w:rFonts w:ascii="仿宋" w:hAnsi="仿宋" w:eastAsia="仿宋"/>
          <w:sz w:val="32"/>
          <w:szCs w:val="32"/>
        </w:rPr>
        <w:t>2、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spacing w:line="600" w:lineRule="exact"/>
        <w:ind w:firstLine="640" w:firstLineChars="200"/>
        <w:rPr>
          <w:rFonts w:ascii="仿宋" w:hAnsi="仿宋" w:eastAsia="仿宋"/>
          <w:sz w:val="32"/>
          <w:szCs w:val="32"/>
        </w:rPr>
      </w:pPr>
      <w:r>
        <w:rPr>
          <w:rFonts w:ascii="仿宋" w:hAnsi="仿宋" w:eastAsia="仿宋"/>
          <w:sz w:val="32"/>
          <w:szCs w:val="32"/>
        </w:rPr>
        <w:t>3、2021医保信息系统维护管理工作经费项目绩效自评综述：根据年初设定的绩效目标，项目绩效自评得分为97分。项目全年预算数为12万元，执行数为11.65万元，完成预算的97.08%。项目绩效目标完成情况：日常维护及时率100%；系统维护合格率100%；日常维护保障率100%。发现的主要问题及原因：1、绩效管理意识待加强；2、预算执行率有待提高。下一步改进措施：1、以部门职能职责和绩效目标为基础，合理细化设置绩效目标，全面反映部门整体支出效益。对年初绩效目标各项内容填写规范、完整，有利于财政合理配置资源，</w:t>
      </w:r>
      <w:r>
        <w:rPr>
          <w:rFonts w:hint="eastAsia" w:ascii="仿宋" w:hAnsi="仿宋" w:eastAsia="仿宋"/>
          <w:sz w:val="32"/>
          <w:szCs w:val="32"/>
        </w:rPr>
        <w:t>节约财政资金，缓解供求矛盾，促进资源的有效配置。</w:t>
      </w:r>
      <w:r>
        <w:rPr>
          <w:rFonts w:ascii="仿宋" w:hAnsi="仿宋" w:eastAsia="仿宋"/>
          <w:sz w:val="32"/>
          <w:szCs w:val="32"/>
        </w:rPr>
        <w:t>2、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spacing w:line="600" w:lineRule="exact"/>
        <w:ind w:firstLine="640" w:firstLineChars="200"/>
        <w:rPr>
          <w:rFonts w:ascii="仿宋" w:hAnsi="仿宋" w:eastAsia="仿宋"/>
          <w:sz w:val="32"/>
          <w:szCs w:val="32"/>
        </w:rPr>
      </w:pPr>
      <w:r>
        <w:rPr>
          <w:rFonts w:ascii="仿宋" w:hAnsi="仿宋" w:eastAsia="仿宋"/>
          <w:sz w:val="32"/>
          <w:szCs w:val="32"/>
        </w:rPr>
        <w:t>4、2021离休老干和公务员管理工作经费项目绩效自评综述：根据年初设定的绩效目标，项目绩效自评得分为94分。项目全年预算数为12万元，执行数为8.14万元，完成预算的67.83%。项目绩效目标完成情况：政策知晓率100%、医保费用审核率100%、审核费用报销率100%、退休人员退休干部医保覆盖率100%。发现的主要问题及原因：1、绩效管理意识待加强；2、预算执行率有待提高。下一步改进措施：1、以部门职能职责和绩效目标为基础，合理细化设置绩效目标，全面反映部门整体支出效益。对年初绩效目标各项内容填写规范、</w:t>
      </w:r>
      <w:r>
        <w:rPr>
          <w:rFonts w:hint="eastAsia" w:ascii="仿宋" w:hAnsi="仿宋" w:eastAsia="仿宋"/>
          <w:sz w:val="32"/>
          <w:szCs w:val="32"/>
        </w:rPr>
        <w:t>完整，有利于财政合理配置资源，节约财政资金，缓解供求矛盾，促进资源的有效配置。</w:t>
      </w:r>
      <w:r>
        <w:rPr>
          <w:rFonts w:ascii="仿宋" w:hAnsi="仿宋" w:eastAsia="仿宋"/>
          <w:sz w:val="32"/>
          <w:szCs w:val="32"/>
        </w:rPr>
        <w:t>2、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spacing w:line="600" w:lineRule="exact"/>
        <w:ind w:firstLine="640" w:firstLineChars="200"/>
        <w:rPr>
          <w:rFonts w:ascii="仿宋" w:hAnsi="仿宋" w:eastAsia="仿宋"/>
          <w:sz w:val="32"/>
          <w:szCs w:val="32"/>
        </w:rPr>
      </w:pPr>
    </w:p>
    <w:p>
      <w:pPr>
        <w:spacing w:line="600" w:lineRule="exact"/>
        <w:ind w:firstLine="883" w:firstLineChars="200"/>
        <w:jc w:val="center"/>
        <w:rPr>
          <w:rFonts w:ascii="黑体" w:hAnsi="黑体" w:eastAsia="黑体"/>
          <w:b/>
          <w:bCs/>
          <w:sz w:val="44"/>
          <w:szCs w:val="44"/>
        </w:rPr>
      </w:pPr>
      <w:r>
        <w:rPr>
          <w:rFonts w:ascii="黑体" w:hAnsi="黑体" w:eastAsia="黑体"/>
          <w:b/>
          <w:bCs/>
          <w:sz w:val="44"/>
          <w:szCs w:val="44"/>
        </w:rPr>
        <w:t>第四部分</w:t>
      </w:r>
      <w:r>
        <w:rPr>
          <w:rFonts w:hint="eastAsia" w:ascii="黑体" w:hAnsi="黑体" w:eastAsia="黑体"/>
          <w:b/>
          <w:bCs/>
          <w:sz w:val="44"/>
          <w:szCs w:val="44"/>
        </w:rPr>
        <w:t xml:space="preserve"> 名词解释</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spacing w:line="600" w:lineRule="exact"/>
        <w:ind w:firstLine="640" w:firstLineChars="200"/>
        <w:rPr>
          <w:rFonts w:ascii="仿宋" w:hAnsi="仿宋" w:eastAsia="仿宋"/>
          <w:sz w:val="32"/>
          <w:szCs w:val="32"/>
        </w:rPr>
      </w:pPr>
    </w:p>
    <w:p>
      <w:pPr>
        <w:spacing w:line="600" w:lineRule="exact"/>
        <w:ind w:firstLine="883" w:firstLineChars="200"/>
        <w:jc w:val="center"/>
        <w:rPr>
          <w:rFonts w:ascii="黑体" w:hAnsi="黑体" w:eastAsia="黑体"/>
          <w:b/>
          <w:bCs/>
          <w:sz w:val="44"/>
          <w:szCs w:val="44"/>
        </w:rPr>
      </w:pPr>
      <w:r>
        <w:rPr>
          <w:rFonts w:ascii="黑体" w:hAnsi="黑体" w:eastAsia="黑体"/>
          <w:b/>
          <w:bCs/>
          <w:sz w:val="44"/>
          <w:szCs w:val="44"/>
        </w:rPr>
        <w:t>第五部分</w:t>
      </w:r>
      <w:r>
        <w:rPr>
          <w:rFonts w:hint="eastAsia" w:ascii="黑体" w:hAnsi="黑体" w:eastAsia="黑体"/>
          <w:b/>
          <w:bCs/>
          <w:sz w:val="44"/>
          <w:szCs w:val="44"/>
        </w:rPr>
        <w:t xml:space="preserve"> 附件</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JkMmZmMWIxMjRiZmM2MTFkZWVkNGYwNTNmZTUzMGUifQ=="/>
  </w:docVars>
  <w:rsids>
    <w:rsidRoot w:val="0030588D"/>
    <w:rsid w:val="001845BC"/>
    <w:rsid w:val="0030588D"/>
    <w:rsid w:val="003661E7"/>
    <w:rsid w:val="008B7B24"/>
    <w:rsid w:val="00CD5D5D"/>
    <w:rsid w:val="00DF5BB5"/>
    <w:rsid w:val="12E017EF"/>
    <w:rsid w:val="268F4175"/>
    <w:rsid w:val="2ACF41CB"/>
    <w:rsid w:val="47DB78B4"/>
    <w:rsid w:val="55235DFE"/>
    <w:rsid w:val="6D1166FE"/>
    <w:rsid w:val="6F113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D4139-6EBB-4CAB-8609-02B08A2952A0}">
  <ds:schemaRefs/>
</ds:datastoreItem>
</file>

<file path=docProps/app.xml><?xml version="1.0" encoding="utf-8"?>
<Properties xmlns="http://schemas.openxmlformats.org/officeDocument/2006/extended-properties" xmlns:vt="http://schemas.openxmlformats.org/officeDocument/2006/docPropsVTypes">
  <Template>Normal</Template>
  <Pages>15</Pages>
  <Words>6775</Words>
  <Characters>7319</Characters>
  <Lines>53</Lines>
  <Paragraphs>14</Paragraphs>
  <TotalTime>1</TotalTime>
  <ScaleCrop>false</ScaleCrop>
  <LinksUpToDate>false</LinksUpToDate>
  <CharactersWithSpaces>7326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2023-09-06T15:32:00Z</dcterms:created>
  <dc:creator>汪 梦引</dc:creator>
  <cp:lastModifiedBy>WPS_1678845426</cp:lastModifiedBy>
  <dcterms:modified xsi:type="dcterms:W3CDTF">2023-09-27T14:02:43Z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F67F799FFB3F41D6BE7FA621103DEEC2_12</vt:lpwstr>
  </property>
</Properties>
</file>